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ascii="仿宋_GB2312" w:hAnsi="仿宋" w:eastAsia="仿宋_GB2312"/>
          <w:sz w:val="28"/>
          <w:szCs w:val="28"/>
        </w:rPr>
      </w:pPr>
    </w:p>
    <w:p>
      <w:pPr>
        <w:ind w:firstLine="555"/>
        <w:rPr>
          <w:rFonts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根据《中华人民共和国土地管理法》、《招标挂牌挂牌出让国有土地使用权规范》、《招标挂牌挂牌出让国有建设用地使用权规定》等有关规定，经鹿邑县人民政府批准，受</w:t>
      </w:r>
      <w:r>
        <w:rPr>
          <w:rFonts w:hint="eastAsia" w:ascii="仿宋" w:hAnsi="仿宋" w:eastAsia="仿宋" w:cs="仿宋"/>
          <w:sz w:val="28"/>
          <w:szCs w:val="28"/>
          <w:u w:val="single"/>
        </w:rPr>
        <w:t>鹿邑县自然资源局的</w:t>
      </w:r>
      <w:r>
        <w:rPr>
          <w:rFonts w:hint="eastAsia" w:ascii="仿宋" w:hAnsi="仿宋" w:eastAsia="仿宋" w:cs="仿宋"/>
          <w:sz w:val="28"/>
          <w:szCs w:val="28"/>
        </w:rPr>
        <w:t>委托，以网上挂牌方式出让</w:t>
      </w:r>
      <w:r>
        <w:rPr>
          <w:rFonts w:hint="eastAsia" w:ascii="仿宋" w:hAnsi="仿宋" w:eastAsia="仿宋" w:cs="仿宋"/>
          <w:sz w:val="28"/>
          <w:szCs w:val="28"/>
          <w:u w:val="single"/>
        </w:rPr>
        <w:t>LY20</w:t>
      </w:r>
      <w:r>
        <w:rPr>
          <w:rFonts w:hint="eastAsia" w:ascii="仿宋" w:hAnsi="仿宋" w:eastAsia="仿宋" w:cs="仿宋"/>
          <w:sz w:val="28"/>
          <w:szCs w:val="28"/>
          <w:u w:val="single"/>
          <w:lang w:val="en-US" w:eastAsia="zh-CN"/>
        </w:rPr>
        <w:t>21-04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LY2021-29、LY2021-37、 LY2021-39、</w:t>
      </w:r>
      <w:r>
        <w:rPr>
          <w:rFonts w:hint="eastAsia" w:ascii="仿宋" w:hAnsi="仿宋" w:eastAsia="仿宋" w:cs="仿宋"/>
          <w:sz w:val="28"/>
          <w:szCs w:val="28"/>
        </w:rPr>
        <w:t>共</w:t>
      </w:r>
      <w:r>
        <w:rPr>
          <w:rFonts w:hint="eastAsia" w:ascii="仿宋" w:hAnsi="仿宋" w:eastAsia="仿宋" w:cs="仿宋"/>
          <w:sz w:val="28"/>
          <w:szCs w:val="28"/>
          <w:lang w:val="en-US" w:eastAsia="zh-CN"/>
        </w:rPr>
        <w:t>4</w:t>
      </w:r>
      <w:r>
        <w:rPr>
          <w:rFonts w:hint="eastAsia" w:ascii="仿宋" w:hAnsi="仿宋" w:eastAsia="仿宋" w:cs="仿宋"/>
          <w:sz w:val="28"/>
          <w:szCs w:val="28"/>
          <w:u w:val="single"/>
        </w:rPr>
        <w:t>宗</w:t>
      </w:r>
      <w:r>
        <w:rPr>
          <w:rFonts w:hint="eastAsia" w:ascii="仿宋" w:hAnsi="仿宋" w:eastAsia="仿宋" w:cs="仿宋"/>
          <w:sz w:val="28"/>
          <w:szCs w:val="28"/>
        </w:rPr>
        <w:t>国有建设用地使用权。</w:t>
      </w:r>
    </w:p>
    <w:p>
      <w:pPr>
        <w:ind w:right="365" w:rightChars="174"/>
        <w:rPr>
          <w:rFonts w:ascii="仿宋" w:hAnsi="仿宋" w:eastAsia="仿宋" w:cs="仿宋"/>
          <w:b/>
          <w:sz w:val="28"/>
          <w:szCs w:val="28"/>
        </w:rPr>
      </w:pPr>
      <w:r>
        <w:rPr>
          <w:rFonts w:hint="eastAsia" w:ascii="仿宋" w:hAnsi="仿宋" w:eastAsia="仿宋" w:cs="仿宋"/>
          <w:b/>
          <w:sz w:val="28"/>
          <w:szCs w:val="28"/>
        </w:rPr>
        <w:t xml:space="preserve">  一、本次国有建设用地使用权网上挂牌出让的出让人为鹿邑县自然资源局，具体组织实施委托鹿邑县公共资源交易中心承办。</w:t>
      </w:r>
    </w:p>
    <w:p>
      <w:pPr>
        <w:ind w:firstLine="281" w:firstLineChars="100"/>
        <w:rPr>
          <w:rFonts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281" w:firstLineChars="100"/>
        <w:rPr>
          <w:rFonts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ascii="仿宋" w:hAnsi="仿宋" w:eastAsia="仿宋" w:cs="仿宋"/>
          <w:b/>
          <w:bCs/>
          <w:sz w:val="28"/>
          <w:szCs w:val="28"/>
        </w:rPr>
      </w:pPr>
      <w:r>
        <w:rPr>
          <w:rFonts w:hint="eastAsia" w:ascii="仿宋" w:hAnsi="仿宋" w:eastAsia="仿宋" w:cs="仿宋"/>
          <w:sz w:val="28"/>
          <w:szCs w:val="28"/>
          <w:u w:val="single"/>
        </w:rPr>
        <w:t>LY20</w:t>
      </w:r>
      <w:r>
        <w:rPr>
          <w:rFonts w:hint="eastAsia" w:ascii="仿宋" w:hAnsi="仿宋" w:eastAsia="仿宋" w:cs="仿宋"/>
          <w:sz w:val="28"/>
          <w:szCs w:val="28"/>
          <w:u w:val="single"/>
          <w:lang w:val="en-US" w:eastAsia="zh-CN"/>
        </w:rPr>
        <w:t>21-04</w:t>
      </w:r>
      <w:r>
        <w:rPr>
          <w:rFonts w:hint="eastAsia" w:ascii="仿宋" w:hAnsi="仿宋" w:eastAsia="仿宋" w:cs="仿宋"/>
          <w:b/>
          <w:bCs/>
          <w:sz w:val="28"/>
          <w:szCs w:val="28"/>
          <w:u w:val="single"/>
        </w:rPr>
        <w:t>地块：</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（一）宗地位置：</w:t>
      </w:r>
      <w:r>
        <w:rPr>
          <w:rFonts w:hint="eastAsia" w:ascii="仿宋" w:hAnsi="仿宋" w:eastAsia="仿宋" w:cs="仿宋"/>
          <w:b w:val="0"/>
          <w:i w:val="0"/>
          <w:sz w:val="28"/>
          <w:szCs w:val="28"/>
          <w:lang w:val="en-US" w:eastAsia="zh-CN"/>
        </w:rPr>
        <w:t>鹿邑县西迎宾大道东侧、前罗楼路北侧</w:t>
      </w:r>
    </w:p>
    <w:p>
      <w:pPr>
        <w:ind w:firstLine="560" w:firstLineChars="200"/>
        <w:rPr>
          <w:rFonts w:ascii="仿宋" w:hAnsi="仿宋" w:eastAsia="仿宋" w:cs="仿宋"/>
          <w:spacing w:val="-6"/>
          <w:sz w:val="28"/>
          <w:szCs w:val="28"/>
        </w:rPr>
      </w:pPr>
      <w:r>
        <w:rPr>
          <w:rFonts w:hint="eastAsia" w:ascii="仿宋" w:hAnsi="仿宋" w:eastAsia="仿宋" w:cs="仿宋"/>
          <w:sz w:val="28"/>
          <w:szCs w:val="28"/>
        </w:rPr>
        <w:t xml:space="preserve">（二）宗地面积：宗地可出让面积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3020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4.53</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default" w:ascii="仿宋" w:hAnsi="仿宋" w:eastAsia="仿宋" w:cs="仿宋"/>
          <w:sz w:val="28"/>
          <w:szCs w:val="28"/>
          <w:lang w:val="en-US" w:eastAsia="zh-CN"/>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详见勘测定界图。</w:t>
      </w:r>
    </w:p>
    <w:p>
      <w:pPr>
        <w:ind w:left="2682" w:leftChars="277" w:hanging="2100" w:hangingChars="750"/>
        <w:rPr>
          <w:rFonts w:hint="default" w:ascii="仿宋" w:hAnsi="仿宋" w:eastAsia="仿宋" w:cs="仿宋"/>
          <w:sz w:val="28"/>
          <w:szCs w:val="28"/>
          <w:lang w:val="en-US" w:eastAsia="zh-CN"/>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加油加气站</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40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b w:val="0"/>
          <w:i w:val="0"/>
          <w:color w:val="333333"/>
          <w:kern w:val="0"/>
          <w:sz w:val="28"/>
          <w:szCs w:val="28"/>
          <w:u w:val="single"/>
          <w:shd w:val="clear" w:fill="FFFFFF"/>
          <w:lang w:val="en-US" w:eastAsia="zh-CN" w:bidi="ar"/>
        </w:rPr>
        <w:t>≤0.5</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b w:val="0"/>
          <w:i w:val="0"/>
          <w:color w:val="333333"/>
          <w:kern w:val="0"/>
          <w:sz w:val="28"/>
          <w:szCs w:val="28"/>
          <w:u w:val="single"/>
          <w:shd w:val="clear" w:fill="FFFFFF"/>
          <w:lang w:val="en-US" w:eastAsia="zh-CN" w:bidi="ar"/>
        </w:rPr>
        <w:t>≤25%</w:t>
      </w:r>
      <w:r>
        <w:rPr>
          <w:rFonts w:hint="eastAsia" w:ascii="仿宋" w:hAnsi="仿宋" w:eastAsia="仿宋" w:cs="仿宋"/>
          <w:sz w:val="28"/>
          <w:szCs w:val="28"/>
          <w:u w:val="single"/>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b w:val="0"/>
          <w:i w:val="0"/>
          <w:color w:val="333333"/>
          <w:kern w:val="0"/>
          <w:sz w:val="28"/>
          <w:szCs w:val="28"/>
          <w:u w:val="single"/>
          <w:shd w:val="clear" w:fill="FFFFFF"/>
          <w:lang w:val="en-US" w:eastAsia="zh-CN" w:bidi="ar"/>
        </w:rPr>
        <w:t>≥25%。</w:t>
      </w:r>
    </w:p>
    <w:p>
      <w:pPr>
        <w:ind w:firstLine="555"/>
        <w:rPr>
          <w:rFonts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left="2682" w:leftChars="277" w:hanging="2100" w:hangingChars="750"/>
        <w:rPr>
          <w:rFonts w:ascii="仿宋" w:hAnsi="仿宋" w:eastAsia="仿宋" w:cs="仿宋"/>
          <w:b/>
          <w:bCs/>
          <w:sz w:val="28"/>
          <w:szCs w:val="28"/>
          <w:u w:val="single"/>
        </w:rPr>
      </w:pPr>
      <w:r>
        <w:rPr>
          <w:rFonts w:hint="eastAsia" w:ascii="仿宋" w:hAnsi="仿宋" w:eastAsia="仿宋" w:cs="仿宋"/>
          <w:sz w:val="28"/>
          <w:szCs w:val="28"/>
          <w:u w:val="single"/>
          <w:lang w:val="en-US" w:eastAsia="zh-CN"/>
        </w:rPr>
        <w:t>LY2021-29</w:t>
      </w:r>
      <w:r>
        <w:rPr>
          <w:rFonts w:hint="eastAsia" w:ascii="仿宋" w:hAnsi="仿宋" w:eastAsia="仿宋" w:cs="仿宋"/>
          <w:b/>
          <w:bCs/>
          <w:sz w:val="28"/>
          <w:szCs w:val="28"/>
          <w:u w:val="single"/>
        </w:rPr>
        <w:t>地块：</w:t>
      </w:r>
    </w:p>
    <w:p>
      <w:pPr>
        <w:ind w:left="86" w:leftChars="41" w:firstLine="420" w:firstLineChars="150"/>
        <w:rPr>
          <w:rFonts w:hint="default" w:ascii="仿宋" w:hAnsi="仿宋" w:eastAsia="仿宋" w:cs="仿宋"/>
          <w:sz w:val="28"/>
          <w:szCs w:val="28"/>
          <w:lang w:val="en-US" w:eastAsia="zh-CN"/>
        </w:rPr>
      </w:pPr>
      <w:r>
        <w:rPr>
          <w:rFonts w:hint="eastAsia" w:ascii="仿宋" w:hAnsi="仿宋" w:eastAsia="仿宋" w:cs="仿宋"/>
          <w:sz w:val="28"/>
          <w:szCs w:val="28"/>
        </w:rPr>
        <w:t>（一）宗地位置：</w:t>
      </w:r>
      <w:r>
        <w:rPr>
          <w:rFonts w:hint="eastAsia" w:ascii="仿宋" w:hAnsi="仿宋" w:eastAsia="仿宋" w:cs="仿宋"/>
          <w:sz w:val="28"/>
          <w:szCs w:val="28"/>
          <w:lang w:val="en-US" w:eastAsia="zh-CN"/>
        </w:rPr>
        <w:t>太清宫镇营子寨行政村</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lang w:val="en-US" w:eastAsia="zh-CN"/>
        </w:rPr>
        <w:t>5885</w:t>
      </w:r>
      <w:bookmarkStart w:id="0" w:name="_GoBack"/>
      <w:bookmarkEnd w:id="0"/>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8.8275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2136" w:leftChars="217" w:hanging="1680" w:hangingChars="600"/>
        <w:jc w:val="left"/>
        <w:rPr>
          <w:rFonts w:ascii="仿宋" w:hAnsi="仿宋" w:eastAsia="仿宋" w:cs="仿宋"/>
          <w:sz w:val="28"/>
          <w:szCs w:val="28"/>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详见勘测定界图。</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（四）土地用途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工业用地</w:t>
      </w:r>
    </w:p>
    <w:p>
      <w:pPr>
        <w:ind w:firstLine="57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b w:val="0"/>
          <w:i w:val="0"/>
          <w:color w:val="333333"/>
          <w:kern w:val="0"/>
          <w:sz w:val="28"/>
          <w:szCs w:val="28"/>
          <w:u w:val="single"/>
          <w:shd w:val="clear" w:fill="FFFFFF"/>
          <w:lang w:val="en-US" w:eastAsia="zh-CN" w:bidi="ar"/>
        </w:rPr>
        <w:t>＞1.0</w:t>
      </w:r>
      <w:r>
        <w:rPr>
          <w:rFonts w:hint="eastAsia" w:ascii="仿宋" w:hAnsi="仿宋" w:eastAsia="仿宋" w:cs="仿宋"/>
          <w:sz w:val="28"/>
          <w:szCs w:val="28"/>
        </w:rPr>
        <w:t>。</w:t>
      </w:r>
    </w:p>
    <w:p>
      <w:pPr>
        <w:ind w:firstLine="570"/>
        <w:rPr>
          <w:rFonts w:hint="eastAsia" w:ascii="仿宋" w:hAnsi="仿宋" w:eastAsia="仿宋" w:cs="仿宋"/>
          <w:sz w:val="28"/>
          <w:szCs w:val="28"/>
          <w:u w:val="single"/>
          <w:lang w:eastAsia="zh-CN"/>
        </w:rPr>
      </w:pPr>
      <w:r>
        <w:rPr>
          <w:rFonts w:hint="eastAsia" w:ascii="仿宋" w:hAnsi="仿宋" w:eastAsia="仿宋" w:cs="仿宋"/>
          <w:sz w:val="28"/>
          <w:szCs w:val="28"/>
        </w:rPr>
        <w:t>（七）建筑密度：</w:t>
      </w:r>
      <w:r>
        <w:rPr>
          <w:rFonts w:hint="eastAsia" w:ascii="仿宋" w:hAnsi="仿宋" w:eastAsia="仿宋" w:cs="仿宋"/>
          <w:b w:val="0"/>
          <w:i w:val="0"/>
          <w:color w:val="333333"/>
          <w:kern w:val="0"/>
          <w:sz w:val="28"/>
          <w:szCs w:val="28"/>
          <w:u w:val="single"/>
          <w:shd w:val="clear" w:fill="FFFFFF"/>
          <w:lang w:val="en-US" w:eastAsia="zh-CN" w:bidi="ar"/>
        </w:rPr>
        <w:t>＞40%</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i w:val="0"/>
          <w:caps w:val="0"/>
          <w:color w:val="333333"/>
          <w:spacing w:val="0"/>
          <w:sz w:val="28"/>
          <w:szCs w:val="28"/>
          <w:u w:val="single"/>
          <w:shd w:val="clear" w:fill="FFFFFF"/>
        </w:rPr>
        <w:t>&lt;</w:t>
      </w:r>
      <w:r>
        <w:rPr>
          <w:rFonts w:hint="eastAsia" w:ascii="仿宋" w:hAnsi="仿宋" w:eastAsia="仿宋" w:cs="仿宋"/>
          <w:i w:val="0"/>
          <w:caps w:val="0"/>
          <w:color w:val="333333"/>
          <w:spacing w:val="0"/>
          <w:sz w:val="28"/>
          <w:szCs w:val="28"/>
          <w:u w:val="single"/>
          <w:shd w:val="clear" w:fill="FFFFFF"/>
          <w:lang w:val="en-US" w:eastAsia="zh-CN"/>
        </w:rPr>
        <w:t>20</w:t>
      </w:r>
      <w:r>
        <w:rPr>
          <w:rFonts w:hint="eastAsia" w:ascii="仿宋" w:hAnsi="仿宋" w:eastAsia="仿宋" w:cs="仿宋"/>
          <w:b w:val="0"/>
          <w:i w:val="0"/>
          <w:color w:val="333333"/>
          <w:kern w:val="0"/>
          <w:sz w:val="28"/>
          <w:szCs w:val="28"/>
          <w:u w:val="single"/>
          <w:shd w:val="clear" w:fill="FFFFFF"/>
          <w:lang w:val="en-US" w:eastAsia="zh-CN" w:bidi="ar"/>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left="2682" w:leftChars="277" w:hanging="2100" w:hangingChars="750"/>
        <w:rPr>
          <w:rFonts w:ascii="仿宋" w:hAnsi="仿宋" w:eastAsia="仿宋" w:cs="仿宋"/>
          <w:b/>
          <w:bCs/>
          <w:sz w:val="28"/>
          <w:szCs w:val="28"/>
          <w:u w:val="single"/>
        </w:rPr>
      </w:pPr>
      <w:r>
        <w:rPr>
          <w:rFonts w:hint="eastAsia" w:ascii="仿宋" w:hAnsi="仿宋" w:eastAsia="仿宋" w:cs="仿宋"/>
          <w:sz w:val="28"/>
          <w:szCs w:val="28"/>
          <w:u w:val="single"/>
          <w:lang w:val="en-US" w:eastAsia="zh-CN"/>
        </w:rPr>
        <w:t>LY2021-37</w:t>
      </w:r>
      <w:r>
        <w:rPr>
          <w:rFonts w:hint="eastAsia" w:ascii="仿宋" w:hAnsi="仿宋" w:eastAsia="仿宋" w:cs="仿宋"/>
          <w:b/>
          <w:bCs/>
          <w:sz w:val="28"/>
          <w:szCs w:val="28"/>
          <w:u w:val="single"/>
        </w:rPr>
        <w:t>地块：</w:t>
      </w:r>
    </w:p>
    <w:p>
      <w:pPr>
        <w:ind w:left="86" w:leftChars="41" w:firstLine="420" w:firstLineChars="150"/>
        <w:rPr>
          <w:rFonts w:hint="default" w:ascii="仿宋" w:hAnsi="仿宋" w:eastAsia="仿宋" w:cs="仿宋"/>
          <w:sz w:val="28"/>
          <w:szCs w:val="28"/>
          <w:lang w:val="en-US" w:eastAsia="zh-CN"/>
        </w:rPr>
      </w:pPr>
      <w:r>
        <w:rPr>
          <w:rFonts w:hint="eastAsia" w:ascii="仿宋" w:hAnsi="仿宋" w:eastAsia="仿宋" w:cs="仿宋"/>
          <w:sz w:val="28"/>
          <w:szCs w:val="28"/>
        </w:rPr>
        <w:t>（一）宗地位置：</w:t>
      </w:r>
      <w:r>
        <w:rPr>
          <w:rFonts w:hint="eastAsia" w:ascii="仿宋" w:hAnsi="仿宋" w:eastAsia="仿宋" w:cs="仿宋"/>
          <w:sz w:val="28"/>
          <w:szCs w:val="28"/>
          <w:lang w:val="en-US" w:eastAsia="zh-CN"/>
        </w:rPr>
        <w:t>辅仁大道西侧、新元路北侧</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lang w:val="en-US" w:eastAsia="zh-CN"/>
        </w:rPr>
        <w:t>13680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20.52</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2136" w:leftChars="217" w:hanging="1680" w:hangingChars="600"/>
        <w:jc w:val="left"/>
        <w:rPr>
          <w:rFonts w:ascii="仿宋" w:hAnsi="仿宋" w:eastAsia="仿宋" w:cs="仿宋"/>
          <w:sz w:val="28"/>
          <w:szCs w:val="28"/>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详见勘测定界图。</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（四）土地用途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工业用地</w:t>
      </w:r>
    </w:p>
    <w:p>
      <w:pPr>
        <w:ind w:firstLine="57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lang w:val="en-US" w:eastAsia="zh-CN"/>
        </w:rPr>
        <w:t>5</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b w:val="0"/>
          <w:i w:val="0"/>
          <w:color w:val="333333"/>
          <w:kern w:val="0"/>
          <w:sz w:val="28"/>
          <w:szCs w:val="28"/>
          <w:u w:val="single"/>
          <w:shd w:val="clear" w:fill="FFFFFF"/>
          <w:lang w:val="en-US" w:eastAsia="zh-CN" w:bidi="ar"/>
        </w:rPr>
        <w:t>＞1.0</w:t>
      </w:r>
      <w:r>
        <w:rPr>
          <w:rFonts w:hint="eastAsia" w:ascii="仿宋" w:hAnsi="仿宋" w:eastAsia="仿宋" w:cs="仿宋"/>
          <w:sz w:val="28"/>
          <w:szCs w:val="28"/>
          <w:u w:val="single"/>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none"/>
        </w:rPr>
        <w:t xml:space="preserve"> </w:t>
      </w:r>
      <w:r>
        <w:rPr>
          <w:rFonts w:hint="eastAsia" w:ascii="仿宋" w:hAnsi="仿宋" w:eastAsia="仿宋" w:cs="仿宋"/>
          <w:b w:val="0"/>
          <w:i w:val="0"/>
          <w:color w:val="333333"/>
          <w:kern w:val="0"/>
          <w:sz w:val="28"/>
          <w:szCs w:val="28"/>
          <w:u w:val="single"/>
          <w:shd w:val="clear" w:fill="FFFFFF"/>
          <w:lang w:val="en-US" w:eastAsia="zh-CN" w:bidi="ar"/>
        </w:rPr>
        <w:t>＞40%</w:t>
      </w:r>
      <w:r>
        <w:rPr>
          <w:rFonts w:hint="eastAsia" w:ascii="仿宋" w:hAnsi="仿宋" w:eastAsia="仿宋" w:cs="仿宋"/>
          <w:sz w:val="28"/>
          <w:szCs w:val="28"/>
          <w:u w:val="single"/>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i w:val="0"/>
          <w:caps w:val="0"/>
          <w:color w:val="333333"/>
          <w:spacing w:val="0"/>
          <w:sz w:val="28"/>
          <w:szCs w:val="28"/>
          <w:u w:val="single"/>
          <w:shd w:val="clear" w:fill="FFFFFF"/>
        </w:rPr>
        <w:t>&lt;</w:t>
      </w:r>
      <w:r>
        <w:rPr>
          <w:rFonts w:hint="eastAsia" w:ascii="仿宋" w:hAnsi="仿宋" w:eastAsia="仿宋" w:cs="仿宋"/>
          <w:b w:val="0"/>
          <w:i w:val="0"/>
          <w:color w:val="333333"/>
          <w:kern w:val="0"/>
          <w:sz w:val="28"/>
          <w:szCs w:val="28"/>
          <w:u w:val="single"/>
          <w:shd w:val="clear" w:fill="FFFFFF"/>
          <w:lang w:val="en-US" w:eastAsia="zh-CN" w:bidi="ar"/>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left="2682" w:leftChars="277" w:hanging="2100" w:hangingChars="750"/>
        <w:rPr>
          <w:rFonts w:ascii="仿宋" w:hAnsi="仿宋" w:eastAsia="仿宋" w:cs="仿宋"/>
          <w:b/>
          <w:bCs/>
          <w:sz w:val="28"/>
          <w:szCs w:val="28"/>
          <w:u w:val="single"/>
        </w:rPr>
      </w:pPr>
      <w:r>
        <w:rPr>
          <w:rFonts w:hint="eastAsia" w:ascii="仿宋" w:hAnsi="仿宋" w:eastAsia="仿宋" w:cs="仿宋"/>
          <w:sz w:val="28"/>
          <w:szCs w:val="28"/>
          <w:u w:val="single"/>
          <w:lang w:val="en-US" w:eastAsia="zh-CN"/>
        </w:rPr>
        <w:t>LY2021-39</w:t>
      </w:r>
      <w:r>
        <w:rPr>
          <w:rFonts w:hint="eastAsia" w:ascii="仿宋" w:hAnsi="仿宋" w:eastAsia="仿宋" w:cs="仿宋"/>
          <w:b/>
          <w:bCs/>
          <w:sz w:val="28"/>
          <w:szCs w:val="28"/>
          <w:u w:val="single"/>
        </w:rPr>
        <w:t>地块：</w:t>
      </w:r>
    </w:p>
    <w:p>
      <w:pPr>
        <w:ind w:left="86" w:leftChars="41" w:firstLine="420" w:firstLineChars="150"/>
        <w:rPr>
          <w:rFonts w:hint="default" w:ascii="仿宋" w:hAnsi="仿宋" w:eastAsia="仿宋" w:cs="仿宋"/>
          <w:sz w:val="28"/>
          <w:szCs w:val="28"/>
          <w:lang w:val="en-US" w:eastAsia="zh-CN"/>
        </w:rPr>
      </w:pPr>
      <w:r>
        <w:rPr>
          <w:rFonts w:hint="eastAsia" w:ascii="仿宋" w:hAnsi="仿宋" w:eastAsia="仿宋" w:cs="仿宋"/>
          <w:sz w:val="28"/>
          <w:szCs w:val="28"/>
        </w:rPr>
        <w:t>（一）宗地位置：</w:t>
      </w:r>
      <w:r>
        <w:rPr>
          <w:rFonts w:hint="eastAsia" w:ascii="仿宋" w:hAnsi="仿宋" w:eastAsia="仿宋" w:cs="仿宋"/>
          <w:sz w:val="28"/>
          <w:szCs w:val="28"/>
          <w:lang w:val="en-US" w:eastAsia="zh-CN"/>
        </w:rPr>
        <w:t>辅仁大道西侧、志元大道南侧</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lang w:val="en-US" w:eastAsia="zh-CN"/>
        </w:rPr>
        <w:t>17841</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26.7615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2136" w:leftChars="217" w:hanging="1680" w:hangingChars="600"/>
        <w:jc w:val="left"/>
        <w:rPr>
          <w:rFonts w:ascii="仿宋" w:hAnsi="仿宋" w:eastAsia="仿宋" w:cs="仿宋"/>
          <w:sz w:val="28"/>
          <w:szCs w:val="28"/>
        </w:rPr>
      </w:pPr>
      <w:r>
        <w:rPr>
          <w:rFonts w:hint="eastAsia" w:ascii="仿宋" w:hAnsi="仿宋" w:eastAsia="仿宋" w:cs="仿宋"/>
          <w:sz w:val="28"/>
          <w:szCs w:val="28"/>
        </w:rPr>
        <w:t>（三）地块四至范围：</w:t>
      </w:r>
      <w:r>
        <w:rPr>
          <w:rFonts w:hint="eastAsia" w:ascii="仿宋" w:hAnsi="仿宋" w:eastAsia="仿宋" w:cs="仿宋"/>
          <w:sz w:val="28"/>
          <w:szCs w:val="28"/>
          <w:lang w:val="en-US" w:eastAsia="zh-CN"/>
        </w:rPr>
        <w:t>详见勘测定界图。</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（四）土地用途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工业用地</w:t>
      </w:r>
    </w:p>
    <w:p>
      <w:pPr>
        <w:ind w:firstLine="57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lang w:val="en-US" w:eastAsia="zh-CN"/>
        </w:rPr>
        <w:t>5</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b w:val="0"/>
          <w:i w:val="0"/>
          <w:color w:val="333333"/>
          <w:kern w:val="0"/>
          <w:sz w:val="28"/>
          <w:szCs w:val="28"/>
          <w:u w:val="single"/>
          <w:shd w:val="clear" w:fill="FFFFFF"/>
          <w:lang w:val="en-US" w:eastAsia="zh-CN" w:bidi="ar"/>
        </w:rPr>
        <w:t>＞1</w:t>
      </w:r>
      <w:r>
        <w:rPr>
          <w:rFonts w:hint="eastAsia" w:ascii="仿宋" w:hAnsi="仿宋" w:eastAsia="仿宋" w:cs="仿宋"/>
          <w:b w:val="0"/>
          <w:i w:val="0"/>
          <w:color w:val="333333"/>
          <w:kern w:val="0"/>
          <w:sz w:val="28"/>
          <w:szCs w:val="28"/>
          <w:highlight w:val="none"/>
          <w:u w:val="single"/>
          <w:shd w:val="clear" w:fill="FFFFFF"/>
          <w:lang w:val="en-US" w:eastAsia="zh-CN" w:bidi="ar"/>
        </w:rPr>
        <w:t>.0</w:t>
      </w:r>
      <w:r>
        <w:rPr>
          <w:rFonts w:hint="eastAsia" w:ascii="仿宋" w:hAnsi="仿宋" w:eastAsia="仿宋" w:cs="仿宋"/>
          <w:sz w:val="28"/>
          <w:szCs w:val="28"/>
          <w:u w:val="single"/>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b w:val="0"/>
          <w:i w:val="0"/>
          <w:color w:val="333333"/>
          <w:kern w:val="0"/>
          <w:sz w:val="28"/>
          <w:szCs w:val="28"/>
          <w:u w:val="single"/>
          <w:shd w:val="clear" w:fill="FFFFFF"/>
          <w:lang w:val="en-US" w:eastAsia="zh-CN" w:bidi="ar"/>
        </w:rPr>
        <w:t>＞40%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i w:val="0"/>
          <w:caps w:val="0"/>
          <w:color w:val="333333"/>
          <w:spacing w:val="0"/>
          <w:sz w:val="28"/>
          <w:szCs w:val="28"/>
          <w:u w:val="single"/>
          <w:shd w:val="clear" w:fill="FFFFFF"/>
        </w:rPr>
        <w:t>&lt;</w:t>
      </w:r>
      <w:r>
        <w:rPr>
          <w:rFonts w:hint="eastAsia" w:ascii="仿宋" w:hAnsi="仿宋" w:eastAsia="仿宋" w:cs="仿宋"/>
          <w:i w:val="0"/>
          <w:caps w:val="0"/>
          <w:color w:val="333333"/>
          <w:spacing w:val="0"/>
          <w:sz w:val="28"/>
          <w:szCs w:val="28"/>
          <w:u w:val="single"/>
          <w:shd w:val="clear" w:fill="FFFFFF"/>
          <w:lang w:val="en-US" w:eastAsia="zh-CN"/>
        </w:rPr>
        <w:t>2</w:t>
      </w:r>
      <w:r>
        <w:rPr>
          <w:rFonts w:hint="eastAsia" w:ascii="仿宋" w:hAnsi="仿宋" w:eastAsia="仿宋" w:cs="仿宋"/>
          <w:b w:val="0"/>
          <w:i w:val="0"/>
          <w:color w:val="333333"/>
          <w:kern w:val="0"/>
          <w:sz w:val="28"/>
          <w:szCs w:val="28"/>
          <w:u w:val="single"/>
          <w:shd w:val="clear" w:fill="FFFFFF"/>
          <w:lang w:val="en-US" w:eastAsia="zh-CN" w:bidi="ar"/>
        </w:rPr>
        <w:t>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widowControl/>
        <w:shd w:val="clear" w:color="auto" w:fill="FFFFFF"/>
        <w:jc w:val="left"/>
        <w:rPr>
          <w:rFonts w:hint="eastAsia" w:ascii="仿宋" w:hAnsi="仿宋" w:eastAsia="仿宋" w:cs="仿宋"/>
          <w:b/>
          <w:sz w:val="28"/>
          <w:szCs w:val="28"/>
        </w:rPr>
      </w:pPr>
    </w:p>
    <w:p>
      <w:pPr>
        <w:widowControl/>
        <w:shd w:val="clear" w:color="auto" w:fill="FFFFFF"/>
        <w:jc w:val="left"/>
        <w:rPr>
          <w:rFonts w:hint="eastAsia" w:ascii="仿宋" w:hAnsi="仿宋" w:eastAsia="仿宋" w:cs="仿宋"/>
          <w:b/>
          <w:sz w:val="28"/>
          <w:szCs w:val="28"/>
        </w:rPr>
      </w:pPr>
      <w:r>
        <w:rPr>
          <w:rFonts w:hint="eastAsia" w:ascii="仿宋" w:hAnsi="仿宋" w:eastAsia="仿宋" w:cs="仿宋"/>
          <w:b/>
          <w:sz w:val="28"/>
          <w:szCs w:val="28"/>
        </w:rPr>
        <w:t>四：网上挂牌报价起止时间：</w:t>
      </w:r>
    </w:p>
    <w:p>
      <w:pPr>
        <w:widowControl/>
        <w:autoSpaceDE w:val="0"/>
        <w:adjustRightInd w:val="0"/>
        <w:snapToGrid w:val="0"/>
        <w:spacing w:line="240" w:lineRule="atLeast"/>
        <w:ind w:firstLine="480"/>
        <w:jc w:val="left"/>
        <w:rPr>
          <w:rFonts w:hint="eastAsia" w:ascii="仿宋" w:hAnsi="仿宋" w:eastAsia="仿宋"/>
          <w:kern w:val="0"/>
          <w:sz w:val="32"/>
          <w:szCs w:val="32"/>
        </w:rPr>
      </w:pPr>
      <w:r>
        <w:rPr>
          <w:rFonts w:hint="eastAsia" w:ascii="仿宋" w:hAnsi="仿宋" w:eastAsia="仿宋"/>
          <w:kern w:val="0"/>
          <w:sz w:val="32"/>
          <w:szCs w:val="32"/>
        </w:rPr>
        <w:t>挂牌报价时间为：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tLeast"/>
        <w:ind w:left="0" w:right="0" w:firstLine="640"/>
        <w:jc w:val="left"/>
        <w:textAlignment w:val="auto"/>
        <w:rPr>
          <w:b w:val="0"/>
          <w:i w:val="0"/>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LY2021-04</w:t>
      </w:r>
      <w:r>
        <w:rPr>
          <w:rFonts w:hint="eastAsia" w:ascii="仿宋" w:hAnsi="仿宋" w:eastAsia="仿宋" w:cs="仿宋"/>
          <w:b w:val="0"/>
          <w:i w:val="0"/>
          <w:caps w:val="0"/>
          <w:color w:val="333333"/>
          <w:spacing w:val="0"/>
          <w:kern w:val="0"/>
          <w:sz w:val="32"/>
          <w:szCs w:val="32"/>
          <w:shd w:val="clear" w:fill="FFFFFF"/>
          <w:lang w:val="en-US" w:eastAsia="zh-CN" w:bidi="ar"/>
        </w:rPr>
        <w:t>地块：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2022年3月2日09时00分00秒</w:t>
      </w:r>
      <w:r>
        <w:rPr>
          <w:rFonts w:hint="eastAsia" w:ascii="仿宋" w:hAnsi="仿宋" w:eastAsia="仿宋" w:cs="仿宋"/>
          <w:b w:val="0"/>
          <w:i w:val="0"/>
          <w:caps w:val="0"/>
          <w:color w:val="333333"/>
          <w:spacing w:val="0"/>
          <w:kern w:val="0"/>
          <w:sz w:val="32"/>
          <w:szCs w:val="32"/>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2022年3月11日15时00分00秒</w:t>
      </w:r>
      <w:r>
        <w:rPr>
          <w:rFonts w:hint="eastAsia" w:ascii="仿宋" w:hAnsi="仿宋" w:eastAsia="仿宋" w:cs="仿宋"/>
          <w:b w:val="0"/>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tLeast"/>
        <w:ind w:left="0" w:right="0" w:firstLine="640"/>
        <w:jc w:val="left"/>
        <w:textAlignment w:val="auto"/>
        <w:rPr>
          <w:b w:val="0"/>
          <w:i w:val="0"/>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LY2021-29</w:t>
      </w:r>
      <w:r>
        <w:rPr>
          <w:rFonts w:hint="eastAsia" w:ascii="仿宋" w:hAnsi="仿宋" w:eastAsia="仿宋" w:cs="仿宋"/>
          <w:b w:val="0"/>
          <w:i w:val="0"/>
          <w:caps w:val="0"/>
          <w:color w:val="333333"/>
          <w:spacing w:val="0"/>
          <w:kern w:val="0"/>
          <w:sz w:val="32"/>
          <w:szCs w:val="32"/>
          <w:shd w:val="clear" w:fill="FFFFFF"/>
          <w:lang w:val="en-US" w:eastAsia="zh-CN" w:bidi="ar"/>
        </w:rPr>
        <w:t>地块：</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2022年3月2日09时00分00秒</w:t>
      </w:r>
      <w:r>
        <w:rPr>
          <w:rFonts w:hint="eastAsia" w:ascii="仿宋" w:hAnsi="仿宋" w:eastAsia="仿宋" w:cs="仿宋"/>
          <w:b w:val="0"/>
          <w:i w:val="0"/>
          <w:caps w:val="0"/>
          <w:color w:val="333333"/>
          <w:spacing w:val="0"/>
          <w:kern w:val="0"/>
          <w:sz w:val="32"/>
          <w:szCs w:val="32"/>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2022年3月11日15时10分00秒</w:t>
      </w:r>
      <w:r>
        <w:rPr>
          <w:rFonts w:hint="eastAsia" w:ascii="仿宋" w:hAnsi="仿宋" w:eastAsia="仿宋" w:cs="仿宋"/>
          <w:b w:val="0"/>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tLeast"/>
        <w:ind w:left="0" w:right="0" w:firstLine="640"/>
        <w:jc w:val="left"/>
        <w:textAlignment w:val="auto"/>
        <w:rPr>
          <w:b w:val="0"/>
          <w:i w:val="0"/>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LY2021-37</w:t>
      </w:r>
      <w:r>
        <w:rPr>
          <w:rFonts w:hint="eastAsia" w:ascii="仿宋" w:hAnsi="仿宋" w:eastAsia="仿宋" w:cs="仿宋"/>
          <w:b w:val="0"/>
          <w:i w:val="0"/>
          <w:caps w:val="0"/>
          <w:color w:val="333333"/>
          <w:spacing w:val="0"/>
          <w:kern w:val="0"/>
          <w:sz w:val="32"/>
          <w:szCs w:val="32"/>
          <w:shd w:val="clear" w:fill="FFFFFF"/>
          <w:lang w:val="en-US" w:eastAsia="zh-CN" w:bidi="ar"/>
        </w:rPr>
        <w:t>地块：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2022年3月2日09时00分00秒</w:t>
      </w:r>
      <w:r>
        <w:rPr>
          <w:rFonts w:hint="eastAsia" w:ascii="仿宋" w:hAnsi="仿宋" w:eastAsia="仿宋" w:cs="仿宋"/>
          <w:b w:val="0"/>
          <w:i w:val="0"/>
          <w:caps w:val="0"/>
          <w:color w:val="333333"/>
          <w:spacing w:val="0"/>
          <w:kern w:val="0"/>
          <w:sz w:val="32"/>
          <w:szCs w:val="32"/>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2022年3月11日15时20分00秒</w:t>
      </w:r>
      <w:r>
        <w:rPr>
          <w:rFonts w:hint="eastAsia" w:ascii="仿宋" w:hAnsi="仿宋" w:eastAsia="仿宋" w:cs="仿宋"/>
          <w:b w:val="0"/>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tLeast"/>
        <w:ind w:left="0" w:right="0" w:firstLine="640"/>
        <w:jc w:val="left"/>
        <w:textAlignment w:val="auto"/>
        <w:rPr>
          <w:b w:val="0"/>
          <w:i w:val="0"/>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LY2021-39</w:t>
      </w:r>
      <w:r>
        <w:rPr>
          <w:rFonts w:hint="eastAsia" w:ascii="仿宋" w:hAnsi="仿宋" w:eastAsia="仿宋" w:cs="仿宋"/>
          <w:b w:val="0"/>
          <w:i w:val="0"/>
          <w:caps w:val="0"/>
          <w:color w:val="333333"/>
          <w:spacing w:val="0"/>
          <w:kern w:val="0"/>
          <w:sz w:val="32"/>
          <w:szCs w:val="32"/>
          <w:shd w:val="clear" w:fill="FFFFFF"/>
          <w:lang w:val="en-US" w:eastAsia="zh-CN" w:bidi="ar"/>
        </w:rPr>
        <w:t>地块：</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2022年3月2日09时00分00秒</w:t>
      </w:r>
      <w:r>
        <w:rPr>
          <w:rFonts w:hint="eastAsia" w:ascii="仿宋" w:hAnsi="仿宋" w:eastAsia="仿宋" w:cs="仿宋"/>
          <w:b w:val="0"/>
          <w:i w:val="0"/>
          <w:caps w:val="0"/>
          <w:color w:val="333333"/>
          <w:spacing w:val="0"/>
          <w:kern w:val="0"/>
          <w:sz w:val="32"/>
          <w:szCs w:val="32"/>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2022年3月11日15时30分00秒</w:t>
      </w:r>
      <w:r>
        <w:rPr>
          <w:rFonts w:hint="eastAsia" w:ascii="仿宋" w:hAnsi="仿宋" w:eastAsia="仿宋" w:cs="仿宋"/>
          <w:b w:val="0"/>
          <w:i w:val="0"/>
          <w:caps w:val="0"/>
          <w:color w:val="333333"/>
          <w:spacing w:val="0"/>
          <w:kern w:val="0"/>
          <w:sz w:val="32"/>
          <w:szCs w:val="32"/>
          <w:shd w:val="clear" w:fill="FFFFFF"/>
          <w:lang w:val="en-US" w:eastAsia="zh-CN" w:bidi="ar"/>
        </w:rPr>
        <w:t>。</w:t>
      </w:r>
    </w:p>
    <w:p>
      <w:pPr>
        <w:rPr>
          <w:rFonts w:ascii="仿宋" w:hAnsi="仿宋" w:eastAsia="仿宋" w:cs="仿宋"/>
          <w:b/>
          <w:sz w:val="28"/>
          <w:szCs w:val="28"/>
        </w:rPr>
      </w:pPr>
      <w:r>
        <w:rPr>
          <w:rFonts w:hint="eastAsia" w:ascii="仿宋" w:hAnsi="仿宋" w:eastAsia="仿宋" w:cs="仿宋"/>
          <w:b/>
          <w:sz w:val="28"/>
          <w:szCs w:val="28"/>
        </w:rPr>
        <w:t>五、宗地的起始价、增价幅度、竞买保证金（人民币）</w:t>
      </w:r>
    </w:p>
    <w:tbl>
      <w:tblPr>
        <w:tblStyle w:val="3"/>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2456" w:type="dxa"/>
            <w:vAlign w:val="center"/>
          </w:tcPr>
          <w:p>
            <w:pPr>
              <w:jc w:val="center"/>
              <w:rPr>
                <w:rFonts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456"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b w:val="0"/>
                <w:i w:val="0"/>
                <w:caps w:val="0"/>
                <w:color w:val="333333"/>
                <w:spacing w:val="0"/>
                <w:kern w:val="0"/>
                <w:sz w:val="28"/>
                <w:szCs w:val="28"/>
                <w:u w:val="single"/>
                <w:shd w:val="clear" w:fill="FFFFFF"/>
                <w:lang w:val="en-US" w:eastAsia="zh-CN" w:bidi="ar"/>
              </w:rPr>
              <w:t>LY2021-04</w:t>
            </w:r>
          </w:p>
        </w:tc>
        <w:tc>
          <w:tcPr>
            <w:tcW w:w="2457" w:type="dxa"/>
            <w:vAlign w:val="center"/>
          </w:tcPr>
          <w:p>
            <w:p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996.6</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4.53</w:t>
            </w:r>
          </w:p>
        </w:tc>
        <w:tc>
          <w:tcPr>
            <w:tcW w:w="2457"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30"/>
                <w:szCs w:val="30"/>
                <w:lang w:val="en-US" w:eastAsia="zh-CN"/>
              </w:rPr>
              <w:t>996.6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456" w:type="dxa"/>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b w:val="0"/>
                <w:i w:val="0"/>
                <w:caps w:val="0"/>
                <w:color w:val="333333"/>
                <w:spacing w:val="0"/>
                <w:kern w:val="0"/>
                <w:sz w:val="28"/>
                <w:szCs w:val="28"/>
                <w:u w:val="single"/>
                <w:shd w:val="clear" w:fill="FFFFFF"/>
                <w:lang w:val="en-US" w:eastAsia="zh-CN" w:bidi="ar"/>
              </w:rPr>
              <w:t>LY2021-29</w:t>
            </w:r>
          </w:p>
        </w:tc>
        <w:tc>
          <w:tcPr>
            <w:tcW w:w="2457" w:type="dxa"/>
            <w:vAlign w:val="center"/>
          </w:tcPr>
          <w:p>
            <w:pPr>
              <w:jc w:val="center"/>
              <w:rPr>
                <w:rFonts w:hint="default" w:ascii="仿宋" w:hAnsi="仿宋" w:eastAsia="仿宋" w:cstheme="minorBidi"/>
                <w:color w:val="333333"/>
                <w:kern w:val="0"/>
                <w:sz w:val="28"/>
                <w:szCs w:val="28"/>
                <w:lang w:val="en-US" w:eastAsia="zh-CN" w:bidi="ar-SA"/>
              </w:rPr>
            </w:pPr>
            <w:r>
              <w:rPr>
                <w:rFonts w:hint="eastAsia" w:ascii="仿宋" w:hAnsi="仿宋" w:eastAsia="仿宋" w:cstheme="minorBidi"/>
                <w:color w:val="333333"/>
                <w:kern w:val="0"/>
                <w:sz w:val="28"/>
                <w:szCs w:val="28"/>
                <w:lang w:val="en-US" w:eastAsia="zh-CN" w:bidi="ar-SA"/>
              </w:rPr>
              <w:t>176.55</w:t>
            </w:r>
          </w:p>
        </w:tc>
        <w:tc>
          <w:tcPr>
            <w:tcW w:w="2457" w:type="dxa"/>
            <w:vAlign w:val="center"/>
          </w:tcPr>
          <w:p>
            <w:pPr>
              <w:jc w:val="center"/>
              <w:rPr>
                <w:rFonts w:hint="default" w:ascii="仿宋" w:hAnsi="仿宋" w:eastAsia="仿宋" w:cstheme="minorBidi"/>
                <w:color w:val="333333"/>
                <w:kern w:val="0"/>
                <w:sz w:val="28"/>
                <w:szCs w:val="28"/>
                <w:lang w:val="en-US" w:eastAsia="zh-CN" w:bidi="ar-SA"/>
              </w:rPr>
            </w:pPr>
            <w:r>
              <w:rPr>
                <w:rFonts w:hint="eastAsia" w:ascii="仿宋" w:hAnsi="仿宋" w:eastAsia="仿宋" w:cstheme="minorBidi"/>
                <w:color w:val="333333"/>
                <w:kern w:val="0"/>
                <w:sz w:val="28"/>
                <w:szCs w:val="28"/>
                <w:lang w:val="en-US" w:eastAsia="zh-CN" w:bidi="ar-SA"/>
              </w:rPr>
              <w:t>8.8275</w:t>
            </w:r>
          </w:p>
        </w:tc>
        <w:tc>
          <w:tcPr>
            <w:tcW w:w="2457" w:type="dxa"/>
            <w:vAlign w:val="center"/>
          </w:tcPr>
          <w:p>
            <w:pPr>
              <w:jc w:val="center"/>
              <w:rPr>
                <w:rFonts w:hint="default" w:ascii="仿宋" w:hAnsi="仿宋" w:eastAsia="仿宋" w:cstheme="minorBidi"/>
                <w:color w:val="333333"/>
                <w:kern w:val="0"/>
                <w:sz w:val="28"/>
                <w:szCs w:val="28"/>
                <w:lang w:val="en-US" w:eastAsia="zh-CN" w:bidi="ar-SA"/>
              </w:rPr>
            </w:pPr>
            <w:r>
              <w:rPr>
                <w:rFonts w:hint="eastAsia" w:ascii="仿宋" w:hAnsi="仿宋" w:eastAsia="仿宋" w:cstheme="minorBidi"/>
                <w:color w:val="333333"/>
                <w:kern w:val="0"/>
                <w:sz w:val="28"/>
                <w:szCs w:val="28"/>
                <w:lang w:val="en-US" w:eastAsia="zh-CN" w:bidi="ar-SA"/>
              </w:rPr>
              <w:t>176.55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456" w:type="dxa"/>
            <w:vAlign w:val="center"/>
          </w:tcPr>
          <w:p>
            <w:pPr>
              <w:jc w:val="center"/>
              <w:rPr>
                <w:rFonts w:hint="default" w:ascii="仿宋" w:hAnsi="仿宋" w:eastAsia="仿宋" w:cs="仿宋"/>
                <w:sz w:val="28"/>
                <w:szCs w:val="28"/>
                <w:lang w:val="en-US"/>
              </w:rPr>
            </w:pPr>
            <w:r>
              <w:rPr>
                <w:rFonts w:hint="eastAsia" w:ascii="仿宋" w:hAnsi="仿宋" w:eastAsia="仿宋" w:cs="仿宋"/>
                <w:b w:val="0"/>
                <w:i w:val="0"/>
                <w:caps w:val="0"/>
                <w:color w:val="333333"/>
                <w:spacing w:val="0"/>
                <w:kern w:val="0"/>
                <w:sz w:val="28"/>
                <w:szCs w:val="28"/>
                <w:u w:val="single"/>
                <w:shd w:val="clear" w:fill="FFFFFF"/>
                <w:lang w:val="en-US" w:eastAsia="zh-CN" w:bidi="ar"/>
              </w:rPr>
              <w:t>LY2021-37</w:t>
            </w:r>
          </w:p>
        </w:tc>
        <w:tc>
          <w:tcPr>
            <w:tcW w:w="2457" w:type="dxa"/>
            <w:vAlign w:val="center"/>
          </w:tcPr>
          <w:p>
            <w:pPr>
              <w:jc w:val="center"/>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297.54</w:t>
            </w:r>
          </w:p>
        </w:tc>
        <w:tc>
          <w:tcPr>
            <w:tcW w:w="2457" w:type="dxa"/>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20.52</w:t>
            </w:r>
          </w:p>
        </w:tc>
        <w:tc>
          <w:tcPr>
            <w:tcW w:w="2457" w:type="dxa"/>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297.54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456" w:type="dxa"/>
            <w:vAlign w:val="center"/>
          </w:tcPr>
          <w:p>
            <w:pPr>
              <w:jc w:val="center"/>
              <w:rPr>
                <w:rFonts w:hint="default" w:ascii="仿宋" w:hAnsi="仿宋" w:eastAsia="仿宋" w:cs="仿宋"/>
                <w:sz w:val="28"/>
                <w:szCs w:val="28"/>
                <w:lang w:val="en-US"/>
              </w:rPr>
            </w:pPr>
            <w:r>
              <w:rPr>
                <w:rFonts w:hint="eastAsia" w:ascii="仿宋" w:hAnsi="仿宋" w:eastAsia="仿宋" w:cs="仿宋"/>
                <w:b w:val="0"/>
                <w:i w:val="0"/>
                <w:caps w:val="0"/>
                <w:color w:val="333333"/>
                <w:spacing w:val="0"/>
                <w:kern w:val="0"/>
                <w:sz w:val="28"/>
                <w:szCs w:val="28"/>
                <w:u w:val="single"/>
                <w:shd w:val="clear" w:fill="FFFFFF"/>
                <w:lang w:val="en-US" w:eastAsia="zh-CN" w:bidi="ar"/>
              </w:rPr>
              <w:t>LY2021-39</w:t>
            </w:r>
          </w:p>
        </w:tc>
        <w:tc>
          <w:tcPr>
            <w:tcW w:w="2457" w:type="dxa"/>
            <w:vAlign w:val="center"/>
          </w:tcPr>
          <w:p>
            <w:pPr>
              <w:jc w:val="center"/>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388.04175</w:t>
            </w:r>
          </w:p>
        </w:tc>
        <w:tc>
          <w:tcPr>
            <w:tcW w:w="2457" w:type="dxa"/>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26.7615</w:t>
            </w:r>
          </w:p>
        </w:tc>
        <w:tc>
          <w:tcPr>
            <w:tcW w:w="2457" w:type="dxa"/>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30"/>
                <w:szCs w:val="30"/>
                <w:lang w:val="en-US" w:eastAsia="zh-CN" w:bidi="ar-SA"/>
              </w:rPr>
              <w:t>388.04175</w:t>
            </w:r>
          </w:p>
        </w:tc>
      </w:tr>
    </w:tbl>
    <w:p>
      <w:pPr>
        <w:rPr>
          <w:rFonts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ascii="仿宋" w:hAnsi="仿宋" w:eastAsia="仿宋" w:cs="仿宋"/>
          <w:b/>
          <w:sz w:val="28"/>
          <w:szCs w:val="28"/>
        </w:rPr>
      </w:pPr>
      <w:r>
        <w:rPr>
          <w:rFonts w:hint="eastAsia" w:ascii="仿宋" w:hAnsi="仿宋" w:eastAsia="仿宋" w:cs="仿宋"/>
          <w:b/>
          <w:sz w:val="28"/>
          <w:szCs w:val="28"/>
        </w:rPr>
        <w:t>在鹿邑县城区，有欠缴土地出让金等行为的用地单位和个人不得参与宗地竞买活动，以</w:t>
      </w:r>
      <w:r>
        <w:rPr>
          <w:rFonts w:hint="eastAsia" w:ascii="仿宋" w:hAnsi="仿宋" w:eastAsia="仿宋" w:cs="仿宋"/>
          <w:b/>
          <w:bCs/>
          <w:sz w:val="28"/>
          <w:szCs w:val="28"/>
        </w:rPr>
        <w:t>鹿邑</w:t>
      </w:r>
      <w:r>
        <w:rPr>
          <w:rFonts w:hint="eastAsia" w:ascii="仿宋" w:hAnsi="仿宋" w:eastAsia="仿宋" w:cs="仿宋"/>
          <w:b/>
          <w:sz w:val="28"/>
          <w:szCs w:val="28"/>
        </w:rPr>
        <w:t>县自然资源局出具的书面证明为准。</w:t>
      </w:r>
    </w:p>
    <w:p>
      <w:pPr>
        <w:ind w:firstLine="560" w:firstLineChars="200"/>
        <w:rPr>
          <w:rFonts w:ascii="仿宋" w:hAnsi="仿宋" w:eastAsia="仿宋" w:cs="仿宋"/>
          <w:sz w:val="28"/>
          <w:szCs w:val="28"/>
        </w:rPr>
      </w:pPr>
      <w:r>
        <w:rPr>
          <w:rFonts w:hint="eastAsia" w:ascii="仿宋" w:hAnsi="仿宋" w:eastAsia="仿宋" w:cs="仿宋"/>
          <w:sz w:val="28"/>
          <w:szCs w:val="28"/>
        </w:rPr>
        <w:t>本次国有建设用地使用权挂牌出让在互联网上交易，即通过鹿邑县公共资源交易中心网上交易系统（</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鹿邑县公共资源交易中心网站注册会员，并办理诚信库入库登记（详见办事指南土地交易中的《土地竞买人入库办理公告》）及CA数字证书（详见网站首页《鹿邑县公共资源交易中心关于办理CA数字证书及电子签章的公告》）。</w:t>
      </w:r>
    </w:p>
    <w:p>
      <w:pPr>
        <w:ind w:firstLine="560" w:firstLineChars="200"/>
        <w:rPr>
          <w:rFonts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202</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日9时至202</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3</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日17时</w:t>
      </w:r>
      <w:r>
        <w:rPr>
          <w:rFonts w:hint="eastAsia" w:ascii="仿宋" w:hAnsi="仿宋" w:eastAsia="仿宋" w:cs="仿宋"/>
          <w:sz w:val="28"/>
          <w:szCs w:val="28"/>
        </w:rPr>
        <w:t>前往公告附件浏览或下载本次挂牌出让文件，具体包括：</w:t>
      </w:r>
    </w:p>
    <w:p>
      <w:pPr>
        <w:ind w:firstLine="570"/>
        <w:rPr>
          <w:rFonts w:ascii="仿宋" w:hAnsi="仿宋" w:eastAsia="仿宋" w:cs="仿宋"/>
          <w:sz w:val="28"/>
          <w:szCs w:val="28"/>
        </w:rPr>
      </w:pPr>
      <w:r>
        <w:rPr>
          <w:rFonts w:hint="eastAsia" w:ascii="仿宋" w:hAnsi="仿宋" w:eastAsia="仿宋" w:cs="仿宋"/>
          <w:sz w:val="28"/>
          <w:szCs w:val="28"/>
        </w:rPr>
        <w:t>1、挂牌出让公告；</w:t>
      </w:r>
    </w:p>
    <w:p>
      <w:pPr>
        <w:ind w:firstLine="570"/>
        <w:rPr>
          <w:rFonts w:ascii="仿宋" w:hAnsi="仿宋" w:eastAsia="仿宋" w:cs="仿宋"/>
          <w:sz w:val="28"/>
          <w:szCs w:val="28"/>
        </w:rPr>
      </w:pPr>
      <w:r>
        <w:rPr>
          <w:rFonts w:hint="eastAsia" w:ascii="仿宋" w:hAnsi="仿宋" w:eastAsia="仿宋" w:cs="仿宋"/>
          <w:sz w:val="28"/>
          <w:szCs w:val="28"/>
        </w:rPr>
        <w:t>2、宗地勘测定界图；</w:t>
      </w:r>
    </w:p>
    <w:p>
      <w:pPr>
        <w:ind w:firstLine="570"/>
        <w:rPr>
          <w:rFonts w:ascii="仿宋" w:hAnsi="仿宋" w:eastAsia="仿宋" w:cs="仿宋"/>
          <w:sz w:val="28"/>
          <w:szCs w:val="28"/>
        </w:rPr>
      </w:pPr>
      <w:r>
        <w:rPr>
          <w:rFonts w:hint="eastAsia" w:ascii="仿宋" w:hAnsi="仿宋" w:eastAsia="仿宋" w:cs="仿宋"/>
          <w:sz w:val="28"/>
          <w:szCs w:val="28"/>
        </w:rPr>
        <w:t>3、挂牌出让须知；</w:t>
      </w:r>
    </w:p>
    <w:p>
      <w:pPr>
        <w:ind w:firstLine="570"/>
        <w:rPr>
          <w:rFonts w:ascii="仿宋" w:hAnsi="仿宋" w:eastAsia="仿宋" w:cs="仿宋"/>
          <w:sz w:val="28"/>
          <w:szCs w:val="28"/>
        </w:rPr>
      </w:pPr>
      <w:r>
        <w:rPr>
          <w:rFonts w:hint="eastAsia" w:ascii="仿宋" w:hAnsi="仿宋" w:eastAsia="仿宋" w:cs="仿宋"/>
          <w:sz w:val="28"/>
          <w:szCs w:val="28"/>
        </w:rPr>
        <w:t>4、其他相关文件。</w:t>
      </w:r>
    </w:p>
    <w:p>
      <w:pPr>
        <w:ind w:firstLine="570"/>
        <w:rPr>
          <w:rFonts w:ascii="仿宋" w:hAnsi="仿宋" w:eastAsia="仿宋" w:cs="仿宋"/>
          <w:sz w:val="28"/>
          <w:szCs w:val="28"/>
        </w:rPr>
      </w:pPr>
      <w:r>
        <w:rPr>
          <w:rFonts w:hint="eastAsia" w:ascii="仿宋" w:hAnsi="仿宋" w:eastAsia="仿宋" w:cs="仿宋"/>
          <w:sz w:val="28"/>
          <w:szCs w:val="28"/>
        </w:rPr>
        <w:t xml:space="preserve">如对网上交易相关文件及宗地信息有疑问的，可以向鹿邑县自然资源局或鹿邑县公共资源交易中心咨询。 </w:t>
      </w:r>
    </w:p>
    <w:p>
      <w:pPr>
        <w:ind w:firstLine="570"/>
        <w:rPr>
          <w:rFonts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ascii="仿宋" w:hAnsi="仿宋" w:eastAsia="仿宋" w:cs="仿宋"/>
          <w:sz w:val="28"/>
          <w:szCs w:val="28"/>
          <w:u w:val="single"/>
        </w:rPr>
      </w:pPr>
      <w:r>
        <w:rPr>
          <w:rFonts w:hint="eastAsia" w:ascii="仿宋" w:hAnsi="仿宋" w:eastAsia="仿宋" w:cs="仿宋"/>
          <w:sz w:val="28"/>
          <w:szCs w:val="28"/>
        </w:rPr>
        <w:t>（五）申请人在交纳保证金后，请及时与交易中心财务人员联系，由财务人员协助完成保证金账号绑定，财务人员联系电话：15936003655.</w:t>
      </w:r>
    </w:p>
    <w:p>
      <w:pPr>
        <w:ind w:firstLine="560" w:firstLineChars="200"/>
        <w:rPr>
          <w:rFonts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ascii="仿宋" w:hAnsi="仿宋" w:eastAsia="仿宋" w:cs="仿宋"/>
          <w:sz w:val="28"/>
          <w:szCs w:val="28"/>
        </w:rPr>
      </w:pPr>
      <w:r>
        <w:rPr>
          <w:rFonts w:hint="eastAsia" w:ascii="仿宋" w:hAnsi="仿宋" w:eastAsia="仿宋" w:cs="仿宋"/>
          <w:sz w:val="28"/>
          <w:szCs w:val="28"/>
        </w:rPr>
        <w:t>每次提交竞买申请及交纳竞买保证金只对应一宗地块，竞买多宗地块的，应分别提交申请并按时足额交纳竞买保证金。</w:t>
      </w:r>
    </w:p>
    <w:p>
      <w:pPr>
        <w:ind w:firstLine="560" w:firstLineChars="200"/>
        <w:rPr>
          <w:rFonts w:ascii="仿宋" w:hAnsi="仿宋" w:eastAsia="仿宋" w:cs="仿宋"/>
          <w:sz w:val="28"/>
          <w:szCs w:val="28"/>
        </w:rPr>
      </w:pPr>
      <w:r>
        <w:rPr>
          <w:rFonts w:hint="eastAsia" w:ascii="仿宋" w:hAnsi="仿宋" w:eastAsia="仿宋" w:cs="仿宋"/>
          <w:sz w:val="28"/>
          <w:szCs w:val="28"/>
        </w:rPr>
        <w:t>竞买保证金汇入账户和账号：</w:t>
      </w:r>
    </w:p>
    <w:p>
      <w:pPr>
        <w:pStyle w:val="5"/>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账户名称：鹿邑县财政局国有土地收入专户</w:t>
      </w:r>
    </w:p>
    <w:p>
      <w:pPr>
        <w:pStyle w:val="5"/>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号：100393446080010001</w:t>
      </w:r>
    </w:p>
    <w:p>
      <w:pPr>
        <w:pStyle w:val="5"/>
        <w:widowControl w:val="0"/>
        <w:shd w:val="clear" w:color="auto" w:fill="FFFFFF"/>
        <w:autoSpaceDE w:val="0"/>
        <w:adjustRightInd w:val="0"/>
        <w:snapToGrid w:val="0"/>
        <w:spacing w:line="240" w:lineRule="atLeast"/>
        <w:ind w:left="2238" w:leftChars="304" w:hanging="1600" w:hangingChars="500"/>
        <w:rPr>
          <w:rFonts w:ascii="仿宋" w:hAnsi="仿宋" w:eastAsia="仿宋"/>
          <w:color w:val="333333"/>
          <w:sz w:val="32"/>
          <w:szCs w:val="32"/>
        </w:rPr>
      </w:pPr>
      <w:r>
        <w:rPr>
          <w:rFonts w:hint="eastAsia" w:ascii="仿宋" w:hAnsi="仿宋" w:eastAsia="仿宋"/>
          <w:color w:val="333333"/>
          <w:sz w:val="32"/>
          <w:szCs w:val="32"/>
        </w:rPr>
        <w:t>开 户 行：中国邮政储蓄银行股份有限公司鹿邑县鸣鹿路支行</w:t>
      </w:r>
    </w:p>
    <w:p>
      <w:pPr>
        <w:pStyle w:val="5"/>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账户名称：鹿邑县财政局国有土地收入财政专户</w:t>
      </w:r>
    </w:p>
    <w:p>
      <w:pPr>
        <w:pStyle w:val="5"/>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 xml:space="preserve">账    号：257220698694  </w:t>
      </w:r>
    </w:p>
    <w:p>
      <w:pPr>
        <w:pStyle w:val="5"/>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行：中国银行鹿邑支行</w:t>
      </w:r>
    </w:p>
    <w:p>
      <w:pPr>
        <w:pStyle w:val="5"/>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3</w:t>
      </w:r>
      <w:r>
        <w:rPr>
          <w:rFonts w:hint="eastAsia" w:ascii="仿宋" w:hAnsi="仿宋" w:eastAsia="仿宋"/>
          <w:color w:val="333333"/>
          <w:sz w:val="32"/>
          <w:szCs w:val="32"/>
        </w:rPr>
        <w:t>.账户名称：鹿邑县财政局国有土地收入专户</w:t>
      </w:r>
    </w:p>
    <w:p>
      <w:pPr>
        <w:pStyle w:val="5"/>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号：10031120110000000369000015</w:t>
      </w:r>
    </w:p>
    <w:p>
      <w:pPr>
        <w:pStyle w:val="5"/>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行：中原银行鹿邑支行</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ascii="仿宋" w:hAnsi="仿宋" w:eastAsia="仿宋" w:cs="仿宋"/>
          <w:sz w:val="28"/>
          <w:szCs w:val="28"/>
        </w:rPr>
      </w:pPr>
      <w:r>
        <w:rPr>
          <w:rFonts w:hint="eastAsia" w:ascii="仿宋" w:hAnsi="仿宋" w:eastAsia="仿宋" w:cs="仿宋"/>
          <w:sz w:val="28"/>
          <w:szCs w:val="28"/>
        </w:rPr>
        <w:t>（一）、公布挂牌信息</w:t>
      </w:r>
    </w:p>
    <w:p>
      <w:pPr>
        <w:ind w:firstLine="570"/>
        <w:rPr>
          <w:rFonts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1、本次挂牌不设底价。在网上挂牌报价（限时竞价）结束后，网上交易系统不显示底价。</w:t>
      </w:r>
    </w:p>
    <w:p>
      <w:pPr>
        <w:ind w:firstLine="570"/>
        <w:rPr>
          <w:rFonts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初次报价不得低于出让起始价，报价以增价方式进行，每次加价幅度为1.0万元/亩或其整数倍增。报价期内，可多次报价。符合条件的报价，网上交易系统予以接受并公布。</w:t>
      </w:r>
    </w:p>
    <w:p>
      <w:pPr>
        <w:ind w:firstLine="570"/>
        <w:rPr>
          <w:rFonts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ascii="仿宋" w:hAnsi="仿宋" w:eastAsia="仿宋" w:cs="仿宋"/>
          <w:bCs/>
          <w:sz w:val="28"/>
          <w:szCs w:val="28"/>
        </w:rPr>
      </w:pPr>
      <w:r>
        <w:rPr>
          <w:rFonts w:hint="eastAsia" w:ascii="仿宋" w:hAnsi="仿宋" w:eastAsia="仿宋" w:cs="仿宋"/>
          <w:bCs/>
          <w:sz w:val="28"/>
          <w:szCs w:val="28"/>
        </w:rPr>
        <w:t>5、网上挂牌报价截止时：</w:t>
      </w:r>
    </w:p>
    <w:p>
      <w:pPr>
        <w:ind w:firstLine="560" w:firstLineChars="200"/>
        <w:rPr>
          <w:rFonts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（2）有竞买人报价，经网上交易系统询问，在4分钟内无竞买人参加限时竞价，按下列规定确定竞得入选人：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ascii="仿宋" w:hAnsi="仿宋" w:eastAsia="仿宋" w:cs="仿宋"/>
          <w:sz w:val="28"/>
          <w:szCs w:val="28"/>
        </w:rPr>
      </w:pPr>
      <w:r>
        <w:rPr>
          <w:rFonts w:hint="eastAsia" w:ascii="仿宋" w:hAnsi="仿宋" w:eastAsia="仿宋" w:cs="仿宋"/>
          <w:bCs/>
          <w:sz w:val="28"/>
          <w:szCs w:val="28"/>
        </w:rPr>
        <w:t>3、网上限时竞价方式时，网上交易系统以4分钟倒计时为竞价时限，如在4分钟倒</w:t>
      </w:r>
      <w:r>
        <w:rPr>
          <w:rFonts w:hint="eastAsia" w:ascii="仿宋" w:hAnsi="仿宋" w:eastAsia="仿宋" w:cs="仿宋"/>
          <w:sz w:val="28"/>
          <w:szCs w:val="28"/>
        </w:rPr>
        <w:t>计时内任一时刻产生新的报价，网上交易系统即从产生该报价的时刻起重新开始4分钟倒计时。4分钟倒计时截止，没有竞买人提出新的报价，网上交易系统将自动关闭竞价通道，不再接受新的报价，并显示最高报价及网上挂牌竞价结果。</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提交鹿邑县自然资源部门进行审查。经审查合格后将竞得入选人确定为竞得人，由鹿邑县自然资源局与竞得人签订《成交确认书》。经审查不符合要求的，竞得结果无效，竞买保证金不予退还。</w:t>
      </w:r>
    </w:p>
    <w:p>
      <w:pPr>
        <w:ind w:firstLine="570"/>
        <w:rPr>
          <w:rFonts w:ascii="仿宋" w:hAnsi="仿宋" w:eastAsia="仿宋" w:cs="仿宋"/>
          <w:sz w:val="28"/>
          <w:szCs w:val="28"/>
        </w:rPr>
      </w:pPr>
      <w:r>
        <w:rPr>
          <w:rFonts w:hint="eastAsia" w:ascii="仿宋" w:hAnsi="仿宋" w:eastAsia="仿宋" w:cs="仿宋"/>
          <w:sz w:val="28"/>
          <w:szCs w:val="28"/>
        </w:rPr>
        <w:t>审查文件包括：</w:t>
      </w:r>
    </w:p>
    <w:p>
      <w:pPr>
        <w:ind w:firstLine="570"/>
        <w:rPr>
          <w:rFonts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（5）鹿邑县自然资源局出具的未有欠缴土地出让金等行为的书面证明；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ascii="仿宋" w:hAnsi="仿宋" w:eastAsia="仿宋" w:cs="仿宋"/>
          <w:sz w:val="28"/>
          <w:szCs w:val="28"/>
        </w:rPr>
      </w:pPr>
      <w:r>
        <w:rPr>
          <w:rFonts w:hint="eastAsia" w:ascii="仿宋" w:hAnsi="仿宋" w:eastAsia="仿宋" w:cs="仿宋"/>
          <w:sz w:val="28"/>
          <w:szCs w:val="28"/>
        </w:rPr>
        <w:t>(4）鹿邑县自然资源局出具的未有欠缴土地出让金等行为的书面证明；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（5）鹿邑县自然资源局出具的未有欠缴土地出让金等行为的书面证明；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（6）鹿邑县自然资源局出具的未有欠缴土地出让金等行为的书面证明；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（4）鹿邑县自然资源局出具的未有欠缴土地出让金等行为的书面证明；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竞得入选人在规定时间提交上述资料并经审查符合竞买资格的，鹿邑县公共资源交易中心与竞得人签订《国有建设用地使用权成交确认书》。委托他人代签的，应提交法定代表人亲笔签名并盖章的授权委托书。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竞得人持签订的《国有建设用地使用权成交确认书》，在约定的期限内与鹿邑县自然资源局签订《国有建设用地使用权出让合同》。 </w:t>
      </w:r>
    </w:p>
    <w:p>
      <w:pPr>
        <w:ind w:firstLine="570"/>
        <w:rPr>
          <w:rFonts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出让人将在本次国有建设用地使用权挂牌出让结束后10个工作日内，在中国土地市场网和鹿邑县公共资源交易中心网等相关媒体公布此次国有建设用地使用权挂牌出让结果。</w:t>
      </w:r>
    </w:p>
    <w:p>
      <w:pPr>
        <w:ind w:firstLine="562" w:firstLineChars="200"/>
        <w:rPr>
          <w:rFonts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有下列情形之一的，鹿邑县公共资源交易中心应暂停或终止网上交易活动：</w:t>
      </w:r>
    </w:p>
    <w:p>
      <w:pPr>
        <w:widowControl/>
        <w:shd w:val="clear" w:color="auto" w:fill="FFFFFF"/>
        <w:ind w:firstLine="540"/>
        <w:rPr>
          <w:rFonts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（四）涉及国有建设用地使用权纠纷，自然资源管理部门不能及时解决的；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网上交易暂停事项消除后，委托人应当及时书面通知鹿邑县公共资源交易中心恢复交易，鹿邑县公共资源交易中心在网上交易系统发布恢复网上交易公告。交易暂停前已取得竞买资格的，仍视为有效竞买人。</w:t>
      </w:r>
    </w:p>
    <w:p>
      <w:pPr>
        <w:ind w:firstLine="562" w:firstLineChars="200"/>
        <w:rPr>
          <w:rFonts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ascii="仿宋" w:hAnsi="仿宋" w:eastAsia="仿宋" w:cs="仿宋"/>
          <w:sz w:val="28"/>
          <w:szCs w:val="28"/>
        </w:rPr>
      </w:pPr>
      <w:r>
        <w:rPr>
          <w:rFonts w:hint="eastAsia" w:ascii="仿宋" w:hAnsi="仿宋" w:eastAsia="仿宋" w:cs="仿宋"/>
          <w:sz w:val="28"/>
          <w:szCs w:val="28"/>
        </w:rPr>
        <w:t>十、注意事项</w:t>
      </w:r>
    </w:p>
    <w:p>
      <w:pPr>
        <w:ind w:firstLine="570"/>
        <w:rPr>
          <w:rFonts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报名截止日</w:t>
      </w:r>
      <w:r>
        <w:rPr>
          <w:rFonts w:hint="eastAsia" w:ascii="仿宋" w:hAnsi="仿宋" w:eastAsia="仿宋" w:cs="仿宋"/>
          <w:sz w:val="28"/>
          <w:szCs w:val="28"/>
        </w:rPr>
        <w:t>前以书面或口头方式向出让人或鹿邑县公共资源交易中心咨询。竞买申请一经提交并受理确认，即视为竞买人对挂牌出让文件及地块现状等无异议并全部接受，对有关承诺承担法律责任。</w:t>
      </w:r>
    </w:p>
    <w:p>
      <w:pPr>
        <w:ind w:firstLine="570"/>
        <w:rPr>
          <w:rFonts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（二）出让地块未作地下工程勘查，如遇有各类管线、不良地质以及电力、通信设施设备迁移等情况均由竞得人按有关规定处理并支付相关费用，鹿邑县自然资源局和鹿邑县公共资源交易中心不承担责任。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买人竞得宗地后，鹿邑县自然资源局将与竞得人签订《国有建设用地使用权出让合同》，在竞得人按约定办理完新公司注册登记手续后，再与新公司签订《国有建设用地使用权出让合同变更协议》。或竞买人在规定时间内，办理完新公司注册登记手续后，鹿邑县自然资源局直接与新公司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（五）竞得人交纳的竞买保证金，在挂牌出让成交后转作受让地块的部分出让金。其他未取得竞得入选人资格的竞买人交纳的竞买保证金，在网上交易活动结束后5个工作日内予以退还，不计利息。</w:t>
      </w:r>
    </w:p>
    <w:p>
      <w:pPr>
        <w:ind w:firstLine="570"/>
        <w:rPr>
          <w:rFonts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ascii="仿宋" w:hAnsi="仿宋" w:eastAsia="仿宋" w:cs="仿宋"/>
          <w:sz w:val="28"/>
          <w:szCs w:val="28"/>
        </w:rPr>
      </w:pPr>
      <w:r>
        <w:rPr>
          <w:rFonts w:hint="eastAsia" w:ascii="仿宋" w:hAnsi="仿宋" w:eastAsia="仿宋" w:cs="仿宋"/>
          <w:sz w:val="28"/>
          <w:szCs w:val="28"/>
        </w:rPr>
        <w:t>（十）其他事项</w:t>
      </w:r>
    </w:p>
    <w:p>
      <w:pPr>
        <w:ind w:firstLine="570"/>
        <w:rPr>
          <w:rFonts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鹿邑县自然资源局办理签订《国有建设用地使用权出让合同》相关事宜。出让合同签订后，竞得人到规划部门申请办理《建设用地规划许可证》，并在足额缴纳土地出让金和相关税费后，到自然资源局申请办理土地登记手续。</w:t>
      </w:r>
    </w:p>
    <w:p>
      <w:pPr>
        <w:ind w:firstLine="570"/>
        <w:rPr>
          <w:rFonts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ascii="仿宋" w:hAnsi="仿宋" w:eastAsia="仿宋" w:cs="仿宋"/>
          <w:sz w:val="28"/>
          <w:szCs w:val="28"/>
        </w:rPr>
      </w:pPr>
      <w:r>
        <w:rPr>
          <w:rFonts w:hint="eastAsia" w:ascii="仿宋" w:hAnsi="仿宋" w:eastAsia="仿宋" w:cs="仿宋"/>
          <w:sz w:val="28"/>
          <w:szCs w:val="28"/>
        </w:rPr>
        <w:t>8、在鹿邑县城区，有欠缴土地出让金等行为的用地单位和个人不得参与宗地竞买活动。</w:t>
      </w:r>
    </w:p>
    <w:p>
      <w:pPr>
        <w:ind w:firstLine="560" w:firstLineChars="200"/>
        <w:rPr>
          <w:rFonts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鹿邑县公共资源交易中心除采取积极补救措施外，不承担由此产生的一切后果和责任。</w:t>
      </w:r>
    </w:p>
    <w:p>
      <w:pPr>
        <w:ind w:firstLine="570"/>
        <w:rPr>
          <w:rFonts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ascii="仿宋" w:hAnsi="仿宋" w:eastAsia="仿宋" w:cs="仿宋"/>
          <w:sz w:val="28"/>
          <w:szCs w:val="28"/>
        </w:rPr>
      </w:pPr>
      <w:r>
        <w:rPr>
          <w:rFonts w:hint="eastAsia" w:ascii="仿宋" w:hAnsi="仿宋" w:eastAsia="仿宋" w:cs="仿宋"/>
          <w:sz w:val="28"/>
          <w:szCs w:val="28"/>
        </w:rPr>
        <w:t>鹿邑县自然资源局联系人：王业振</w:t>
      </w:r>
    </w:p>
    <w:p>
      <w:pPr>
        <w:ind w:firstLine="420" w:firstLineChars="150"/>
        <w:rPr>
          <w:rFonts w:ascii="仿宋" w:hAnsi="仿宋" w:eastAsia="仿宋" w:cs="仿宋"/>
          <w:sz w:val="28"/>
          <w:szCs w:val="28"/>
        </w:rPr>
      </w:pPr>
      <w:r>
        <w:rPr>
          <w:rFonts w:hint="eastAsia" w:ascii="仿宋" w:hAnsi="仿宋" w:eastAsia="仿宋" w:cs="仿宋"/>
          <w:sz w:val="28"/>
          <w:szCs w:val="28"/>
        </w:rPr>
        <w:t>联系电话：0394-7186199</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交易中心联系人：牛凯</w:t>
      </w:r>
    </w:p>
    <w:p>
      <w:pPr>
        <w:widowControl/>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联系电话：0394-710</w:t>
      </w:r>
      <w:r>
        <w:rPr>
          <w:rFonts w:hint="eastAsia" w:ascii="仿宋" w:hAnsi="仿宋" w:eastAsia="仿宋" w:cs="仿宋"/>
          <w:sz w:val="28"/>
          <w:szCs w:val="28"/>
          <w:lang w:val="en-US" w:eastAsia="zh-CN"/>
        </w:rPr>
        <w:t>0039</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 xml:space="preserve">诚信库入库及数字证书办理联系人：冯文超   孙志强  </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联系电话：0394-7100009  13403856556</w:t>
      </w:r>
    </w:p>
    <w:p>
      <w:pPr>
        <w:widowControl/>
        <w:ind w:firstLine="5600" w:firstLineChars="2000"/>
        <w:jc w:val="left"/>
        <w:rPr>
          <w:rFonts w:ascii="仿宋" w:hAnsi="仿宋" w:eastAsia="仿宋" w:cs="仿宋"/>
          <w:sz w:val="28"/>
          <w:szCs w:val="28"/>
        </w:rPr>
      </w:pPr>
      <w:r>
        <w:rPr>
          <w:rFonts w:hint="eastAsia" w:ascii="仿宋" w:hAnsi="仿宋" w:eastAsia="仿宋" w:cs="仿宋"/>
          <w:sz w:val="28"/>
          <w:szCs w:val="28"/>
        </w:rPr>
        <w:t>鹿邑县自然资源局</w:t>
      </w:r>
    </w:p>
    <w:p>
      <w:pPr>
        <w:ind w:firstLine="700" w:firstLineChars="250"/>
        <w:jc w:val="right"/>
        <w:rPr>
          <w:rFonts w:ascii="仿宋" w:hAnsi="仿宋" w:eastAsia="仿宋" w:cs="仿宋"/>
          <w:sz w:val="28"/>
          <w:szCs w:val="28"/>
        </w:rPr>
      </w:pPr>
      <w:r>
        <w:rPr>
          <w:rFonts w:hint="eastAsia" w:ascii="仿宋" w:hAnsi="仿宋" w:eastAsia="仿宋" w:cs="仿宋"/>
          <w:sz w:val="28"/>
          <w:szCs w:val="28"/>
        </w:rPr>
        <w:t xml:space="preserve"> 鹿邑县公共资源交易中心</w:t>
      </w:r>
    </w:p>
    <w:p>
      <w:pPr>
        <w:ind w:right="280"/>
        <w:jc w:val="right"/>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w:t>
      </w:r>
    </w:p>
    <w:p>
      <w:pPr>
        <w:jc w:val="right"/>
        <w:rPr>
          <w:rFonts w:ascii="仿宋" w:hAnsi="仿宋" w:eastAsia="仿宋" w:cs="仿宋"/>
          <w:sz w:val="28"/>
          <w:szCs w:val="28"/>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eastAsia="宋体"/>
                      </w:rPr>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43E75"/>
    <w:rsid w:val="01AD738D"/>
    <w:rsid w:val="03DE6990"/>
    <w:rsid w:val="04243E75"/>
    <w:rsid w:val="08F95396"/>
    <w:rsid w:val="15035102"/>
    <w:rsid w:val="16637699"/>
    <w:rsid w:val="172B2A2F"/>
    <w:rsid w:val="1C1D70DC"/>
    <w:rsid w:val="1C5763F6"/>
    <w:rsid w:val="27603F4A"/>
    <w:rsid w:val="27A05ECA"/>
    <w:rsid w:val="2D4228C8"/>
    <w:rsid w:val="32C3624D"/>
    <w:rsid w:val="36914800"/>
    <w:rsid w:val="37185602"/>
    <w:rsid w:val="383C2BEF"/>
    <w:rsid w:val="40DF7552"/>
    <w:rsid w:val="47680ADF"/>
    <w:rsid w:val="4E414D66"/>
    <w:rsid w:val="516D7679"/>
    <w:rsid w:val="51D26BD6"/>
    <w:rsid w:val="5B0A243D"/>
    <w:rsid w:val="612207BB"/>
    <w:rsid w:val="61247670"/>
    <w:rsid w:val="64134E1B"/>
    <w:rsid w:val="67861791"/>
    <w:rsid w:val="683660C3"/>
    <w:rsid w:val="7061728A"/>
    <w:rsid w:val="73192FC3"/>
    <w:rsid w:val="73414E98"/>
    <w:rsid w:val="75001343"/>
    <w:rsid w:val="7D685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cjk"/>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2020-12-30T02:00:00Z</dcterms:created>
  <dc:creator>LENOVO</dc:creator>
  <cp:lastModifiedBy>Administrator</cp:lastModifiedBy>
  <dcterms:modified xsi:type="dcterms:W3CDTF">2022-02-09T08:19:31Z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1FFCF2F12D9642CC83F79957E19DEE07</vt:lpwstr>
  </property>
</Properties>
</file>